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C924" w14:textId="5F85FA7F" w:rsidR="00322776" w:rsidRDefault="00774277">
      <w:pPr>
        <w:pStyle w:val="PrimarySectionTextNoHangingIndent-HCG"/>
        <w:jc w:val="center"/>
        <w:rPr>
          <w:sz w:val="24"/>
          <w:szCs w:val="24"/>
        </w:rPr>
      </w:pPr>
      <w:r>
        <w:rPr>
          <w:sz w:val="24"/>
          <w:szCs w:val="24"/>
        </w:rPr>
        <w:t xml:space="preserve">HRP-304 | </w:t>
      </w:r>
      <w:r>
        <w:rPr>
          <w:rFonts w:cs="Arial"/>
          <w:sz w:val="24"/>
          <w:szCs w:val="24"/>
        </w:rPr>
        <w:t>12/9/2022</w:t>
      </w:r>
      <w:r>
        <w:rPr>
          <w:sz w:val="24"/>
          <w:szCs w:val="24"/>
        </w:rPr>
        <w:t xml:space="preserve"> </w:t>
      </w:r>
    </w:p>
    <w:p w14:paraId="7A21555F" w14:textId="77777777" w:rsidR="00322776" w:rsidRDefault="00322776">
      <w:pPr>
        <w:pStyle w:val="PrimarySectionTextNoHangingIndent-HCG"/>
        <w:jc w:val="center"/>
      </w:pPr>
    </w:p>
    <w:p w14:paraId="3344C008" w14:textId="0A9E3525" w:rsidR="00322776" w:rsidRDefault="00774277">
      <w:pPr>
        <w:pStyle w:val="DocumentTitle-HCG"/>
        <w:spacing w:line="360" w:lineRule="auto"/>
        <w:rPr>
          <w:rFonts w:eastAsia="Calibri"/>
        </w:rPr>
      </w:pPr>
      <w:r>
        <w:t>WORKSHEET: IRB Composition</w:t>
      </w:r>
    </w:p>
    <w:p w14:paraId="287F1EA2" w14:textId="5E9D487B" w:rsidR="00322776" w:rsidRDefault="00774277">
      <w:pPr>
        <w:pStyle w:val="PrimarySectionTextNoHangingIndent-HCG"/>
      </w:pPr>
      <w:r>
        <w:t xml:space="preserve">The purpose of this worksheet is to provide support for IRB staff reviewing whether the IRB is appropriately composed. Note: All IRB members are voting members. There are no </w:t>
      </w:r>
      <w:r>
        <w:t>“non-voting IRB members.”</w:t>
      </w:r>
    </w:p>
    <w:p w14:paraId="131445AC" w14:textId="535196C2" w:rsidR="00322776" w:rsidRDefault="00774277">
      <w:pPr>
        <w:pStyle w:val="SectionHeading-HCG"/>
        <w:numPr>
          <w:ilvl w:val="0"/>
          <w:numId w:val="4"/>
        </w:numPr>
        <w:rPr>
          <w:b w:val="0"/>
          <w:bCs w:val="0"/>
          <w:sz w:val="22"/>
          <w:szCs w:val="22"/>
        </w:rPr>
      </w:pPr>
      <w:r>
        <w:rPr>
          <w:sz w:val="22"/>
          <w:szCs w:val="22"/>
        </w:rPr>
        <w:t>Objective Composition</w:t>
      </w:r>
      <w:r>
        <w:rPr>
          <w:b w:val="0"/>
          <w:bCs w:val="0"/>
          <w:sz w:val="22"/>
          <w:szCs w:val="22"/>
        </w:rPr>
        <w:t xml:space="preserve"> (Check if “</w:t>
      </w:r>
      <w:r>
        <w:rPr>
          <w:sz w:val="22"/>
          <w:szCs w:val="22"/>
        </w:rPr>
        <w:t>Yes</w:t>
      </w:r>
      <w:r>
        <w:rPr>
          <w:b w:val="0"/>
          <w:bCs w:val="0"/>
          <w:sz w:val="22"/>
          <w:szCs w:val="22"/>
        </w:rPr>
        <w:t>”. All must be checked)</w:t>
      </w:r>
    </w:p>
    <w:p w14:paraId="67A80A2E" w14:textId="35937BB1" w:rsidR="00322776" w:rsidRDefault="00774277">
      <w:pPr>
        <w:pStyle w:val="PrimarySectionTextNoHangingIndent-HCG"/>
        <w:rPr>
          <w:rFonts w:cs="Arial"/>
        </w:rPr>
      </w:pPr>
      <w:sdt>
        <w:sdtPr>
          <w:rPr>
            <w:rFonts w:cs="Arial"/>
          </w:rPr>
          <w:id w:val="-24988264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has at least five members, not counting alternate IRB members.</w:t>
      </w:r>
    </w:p>
    <w:p w14:paraId="1F8A6FB5" w14:textId="270F095C" w:rsidR="00322776" w:rsidRDefault="00774277">
      <w:pPr>
        <w:pStyle w:val="PrimarySectionTextHangingCheckboxes-HCG"/>
        <w:rPr>
          <w:rFonts w:cs="Arial"/>
        </w:rPr>
      </w:pPr>
      <w:sdt>
        <w:sdtPr>
          <w:rPr>
            <w:rFonts w:cs="Arial"/>
          </w:rPr>
          <w:id w:val="-93990763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does not consist entirely of men or entirely of women. </w:t>
      </w:r>
      <w:r>
        <w:rPr>
          <w:rFonts w:cs="Arial"/>
          <w:i/>
          <w:iCs/>
        </w:rPr>
        <w:t xml:space="preserve">[FDA, </w:t>
      </w:r>
      <w:r>
        <w:rPr>
          <w:rFonts w:cs="Arial"/>
          <w:i/>
          <w:iCs/>
          <w:color w:val="F79646"/>
        </w:rPr>
        <w:t>DOJ</w:t>
      </w:r>
      <w:r>
        <w:rPr>
          <w:rFonts w:cs="Arial"/>
          <w:i/>
          <w:iCs/>
        </w:rPr>
        <w:t xml:space="preserve">, or when applying </w:t>
      </w:r>
      <w:r>
        <w:rPr>
          <w:rFonts w:cs="Arial"/>
          <w:i/>
          <w:iCs/>
        </w:rPr>
        <w:t>the Pre-2018 Common Rule regulations only.]</w:t>
      </w:r>
    </w:p>
    <w:p w14:paraId="24E1B057" w14:textId="71708932" w:rsidR="00322776" w:rsidRDefault="00774277">
      <w:pPr>
        <w:pStyle w:val="PrimarySectionTextHangingCheckboxes-HCG"/>
        <w:rPr>
          <w:rFonts w:cs="Arial"/>
          <w:i/>
          <w:iCs/>
        </w:rPr>
      </w:pPr>
      <w:sdt>
        <w:sdtPr>
          <w:rPr>
            <w:rFonts w:cs="Arial"/>
          </w:rPr>
          <w:id w:val="-98269668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does not consist entirely of members of one profession. </w:t>
      </w:r>
      <w:r>
        <w:rPr>
          <w:rFonts w:cs="Arial"/>
          <w:i/>
          <w:iCs/>
        </w:rPr>
        <w:t xml:space="preserve">[FDA, </w:t>
      </w:r>
      <w:r>
        <w:rPr>
          <w:rFonts w:cs="Arial"/>
          <w:i/>
          <w:iCs/>
          <w:color w:val="F79646"/>
        </w:rPr>
        <w:t>DOJ</w:t>
      </w:r>
      <w:r>
        <w:rPr>
          <w:rFonts w:cs="Arial"/>
          <w:i/>
          <w:iCs/>
        </w:rPr>
        <w:t>, or when applying the Pre-2018 Common Rule regulations only.]</w:t>
      </w:r>
    </w:p>
    <w:p w14:paraId="2B77FAD6" w14:textId="557BFA55" w:rsidR="00322776" w:rsidRDefault="00774277">
      <w:pPr>
        <w:pStyle w:val="PrimarySectionTextHangingCheckboxes-HCG"/>
        <w:rPr>
          <w:rFonts w:cs="Arial"/>
        </w:rPr>
      </w:pPr>
      <w:sdt>
        <w:sdtPr>
          <w:rPr>
            <w:rFonts w:cs="Arial"/>
          </w:rPr>
          <w:id w:val="177397517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has at least one member who has primary </w:t>
      </w:r>
      <w:proofErr w:type="gramStart"/>
      <w:r>
        <w:rPr>
          <w:rFonts w:cs="Arial"/>
        </w:rPr>
        <w:t>concerns are</w:t>
      </w:r>
      <w:proofErr w:type="gramEnd"/>
      <w:r>
        <w:rPr>
          <w:rFonts w:cs="Arial"/>
        </w:rPr>
        <w:t xml:space="preserve"> in scie</w:t>
      </w:r>
      <w:r>
        <w:rPr>
          <w:rFonts w:cs="Arial"/>
        </w:rPr>
        <w:t>ntific areas.</w:t>
      </w:r>
    </w:p>
    <w:p w14:paraId="3A048A3E" w14:textId="1B831E9E" w:rsidR="00322776" w:rsidRDefault="00774277">
      <w:pPr>
        <w:pStyle w:val="PrimarySectionTextHangingCheckboxes-HCG"/>
        <w:rPr>
          <w:rFonts w:cs="Arial"/>
        </w:rPr>
      </w:pPr>
      <w:sdt>
        <w:sdtPr>
          <w:rPr>
            <w:rFonts w:cs="Arial"/>
          </w:rPr>
          <w:id w:val="77437438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has at least one member who has primary </w:t>
      </w:r>
      <w:proofErr w:type="gramStart"/>
      <w:r>
        <w:rPr>
          <w:rFonts w:cs="Arial"/>
        </w:rPr>
        <w:t>concerns are</w:t>
      </w:r>
      <w:proofErr w:type="gramEnd"/>
      <w:r>
        <w:rPr>
          <w:rFonts w:cs="Arial"/>
        </w:rPr>
        <w:t xml:space="preserve"> in non-scientific areas.</w:t>
      </w:r>
    </w:p>
    <w:p w14:paraId="2094F535" w14:textId="439FA4F1" w:rsidR="00322776" w:rsidRDefault="00774277">
      <w:pPr>
        <w:pStyle w:val="PrimarySectionTextHangingCheckboxes-HCG"/>
        <w:rPr>
          <w:rFonts w:cs="Arial"/>
        </w:rPr>
      </w:pPr>
      <w:sdt>
        <w:sdtPr>
          <w:rPr>
            <w:rFonts w:cs="Arial"/>
          </w:rPr>
          <w:id w:val="-94808076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has at least one member who is unaffiliated with the institution and whose </w:t>
      </w:r>
      <w:r>
        <w:rPr>
          <w:rFonts w:cs="Arial"/>
          <w:u w:val="double"/>
        </w:rPr>
        <w:t>Immediate Family</w:t>
      </w:r>
      <w:r>
        <w:rPr>
          <w:rFonts w:cs="Arial"/>
        </w:rPr>
        <w:t xml:space="preserve"> is unaffiliated with the institution.</w:t>
      </w:r>
    </w:p>
    <w:p w14:paraId="7C77E921" w14:textId="35BB2E44" w:rsidR="00322776" w:rsidRDefault="00774277">
      <w:pPr>
        <w:pStyle w:val="SectionHeading-HCG"/>
        <w:numPr>
          <w:ilvl w:val="0"/>
          <w:numId w:val="4"/>
        </w:numPr>
        <w:rPr>
          <w:sz w:val="22"/>
          <w:szCs w:val="22"/>
        </w:rPr>
      </w:pPr>
      <w:r>
        <w:rPr>
          <w:sz w:val="22"/>
          <w:szCs w:val="22"/>
        </w:rPr>
        <w:t>Subjective Composition</w:t>
      </w:r>
      <w:r>
        <w:rPr>
          <w:b w:val="0"/>
          <w:bCs w:val="0"/>
          <w:sz w:val="22"/>
          <w:szCs w:val="22"/>
        </w:rPr>
        <w:t xml:space="preserve"> (Check if “</w:t>
      </w:r>
      <w:r>
        <w:rPr>
          <w:sz w:val="22"/>
          <w:szCs w:val="22"/>
        </w:rPr>
        <w:t>Yes</w:t>
      </w:r>
      <w:r>
        <w:rPr>
          <w:b w:val="0"/>
          <w:bCs w:val="0"/>
          <w:sz w:val="22"/>
          <w:szCs w:val="22"/>
        </w:rPr>
        <w:t>”. All must be checked)</w:t>
      </w:r>
      <w:r>
        <w:rPr>
          <w:sz w:val="22"/>
          <w:szCs w:val="22"/>
        </w:rPr>
        <w:t xml:space="preserve">  </w:t>
      </w:r>
    </w:p>
    <w:p w14:paraId="34A1B1A8" w14:textId="02B36343" w:rsidR="00322776" w:rsidRDefault="00774277">
      <w:pPr>
        <w:pStyle w:val="PrimarySectionTextNoHangingIndent-HCG"/>
        <w:rPr>
          <w:rFonts w:cs="Arial"/>
        </w:rPr>
      </w:pPr>
      <w:sdt>
        <w:sdtPr>
          <w:rPr>
            <w:rFonts w:cs="Arial"/>
          </w:rPr>
          <w:id w:val="-90182480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qualifications of alternate members are comparable to the primary member to be replaced.</w:t>
      </w:r>
    </w:p>
    <w:p w14:paraId="5DEBF4CB" w14:textId="42CAA06B" w:rsidR="00322776" w:rsidRDefault="00774277">
      <w:pPr>
        <w:pStyle w:val="PrimarySectionTextHangingCheckboxes-HCG"/>
        <w:rPr>
          <w:rFonts w:cs="Arial"/>
        </w:rPr>
      </w:pPr>
      <w:sdt>
        <w:sdtPr>
          <w:rPr>
            <w:rFonts w:cs="Arial"/>
          </w:rPr>
          <w:id w:val="-46027474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members have varying backgrounds to promote complete and adequate review of </w:t>
      </w:r>
      <w:r>
        <w:rPr>
          <w:rFonts w:cs="Arial"/>
        </w:rPr>
        <w:t>research activities commonly reviewed.</w:t>
      </w:r>
    </w:p>
    <w:p w14:paraId="7B5A3E71" w14:textId="4433D11F" w:rsidR="00322776" w:rsidRDefault="00774277">
      <w:pPr>
        <w:pStyle w:val="PrimarySectionTextHangingCheckboxes-HCG"/>
        <w:rPr>
          <w:rFonts w:cs="Arial"/>
        </w:rPr>
      </w:pPr>
      <w:sdt>
        <w:sdtPr>
          <w:rPr>
            <w:rFonts w:cs="Arial"/>
          </w:rPr>
          <w:id w:val="-214395923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is sufficiently qualified through its experience, expertise, diversity in terms of race, gender, cultural backgrounds, and sensitivity to such issues as community attitudes to promote respect for its advic</w:t>
      </w:r>
      <w:r>
        <w:rPr>
          <w:rFonts w:cs="Arial"/>
        </w:rPr>
        <w:t xml:space="preserve">e and counsel in safeguarding the rights and welfare of </w:t>
      </w:r>
      <w:r>
        <w:rPr>
          <w:rFonts w:cs="Arial"/>
          <w:u w:val="double"/>
        </w:rPr>
        <w:t>Human Subjects</w:t>
      </w:r>
      <w:r>
        <w:rPr>
          <w:rFonts w:cs="Arial"/>
        </w:rPr>
        <w:t>.</w:t>
      </w:r>
    </w:p>
    <w:p w14:paraId="702C1CB6" w14:textId="44E16EDB" w:rsidR="00322776" w:rsidRDefault="00774277">
      <w:pPr>
        <w:pStyle w:val="PrimarySectionTextHangingCheckboxes-HCG"/>
        <w:rPr>
          <w:rFonts w:cs="Arial"/>
        </w:rPr>
      </w:pPr>
      <w:sdt>
        <w:sdtPr>
          <w:rPr>
            <w:rFonts w:cs="Arial"/>
          </w:rPr>
          <w:id w:val="-160718799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includes persons knowledgeable of institutional commitments and regulations, applicable law, and standards of professional conduct and practice and </w:t>
      </w:r>
      <w:proofErr w:type="gramStart"/>
      <w:r>
        <w:rPr>
          <w:rFonts w:cs="Arial"/>
        </w:rPr>
        <w:t>has the ability to</w:t>
      </w:r>
      <w:proofErr w:type="gramEnd"/>
      <w:r>
        <w:rPr>
          <w:rFonts w:cs="Arial"/>
        </w:rPr>
        <w:t xml:space="preserve"> ascer</w:t>
      </w:r>
      <w:r>
        <w:rPr>
          <w:rFonts w:cs="Arial"/>
        </w:rPr>
        <w:t>tain the acceptability of proposed research in terms of these areas.</w:t>
      </w:r>
    </w:p>
    <w:p w14:paraId="65D5D2C6" w14:textId="78C5A256" w:rsidR="00322776" w:rsidRDefault="00774277">
      <w:pPr>
        <w:pStyle w:val="PrimarySectionTextHangingCheckboxes-HCG"/>
        <w:rPr>
          <w:rFonts w:cs="Arial"/>
        </w:rPr>
      </w:pPr>
      <w:sdt>
        <w:sdtPr>
          <w:rPr>
            <w:rFonts w:cs="Arial"/>
          </w:rPr>
          <w:id w:val="-82759260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w:t>
      </w:r>
      <w:proofErr w:type="gramStart"/>
      <w:r>
        <w:rPr>
          <w:rFonts w:cs="Arial"/>
        </w:rPr>
        <w:t>has the ability to</w:t>
      </w:r>
      <w:proofErr w:type="gramEnd"/>
      <w:r>
        <w:rPr>
          <w:rFonts w:cs="Arial"/>
        </w:rPr>
        <w:t xml:space="preserve"> ascertain the acceptability of proposed research in terms of institutional commitments (including policies and resources) and regulations, applicable law, a</w:t>
      </w:r>
      <w:r>
        <w:rPr>
          <w:rFonts w:cs="Arial"/>
        </w:rPr>
        <w:t>nd standards of professional conduct and practice.</w:t>
      </w:r>
    </w:p>
    <w:p w14:paraId="13FAC5EE" w14:textId="252BC7BB" w:rsidR="00322776" w:rsidRDefault="00774277">
      <w:pPr>
        <w:pStyle w:val="PrimarySectionTextNoHangingIndent-HCG"/>
        <w:rPr>
          <w:rFonts w:cs="Arial"/>
        </w:rPr>
      </w:pPr>
      <w:sdt>
        <w:sdtPr>
          <w:rPr>
            <w:rFonts w:cs="Arial"/>
          </w:rPr>
          <w:id w:val="77660064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possesses the professional competence necessary to review research activities.</w:t>
      </w:r>
    </w:p>
    <w:p w14:paraId="06211622" w14:textId="3CBBA7F1" w:rsidR="00322776" w:rsidRDefault="00774277">
      <w:pPr>
        <w:pStyle w:val="PrimarySectionTextHangingCheckboxes-HCG"/>
        <w:rPr>
          <w:rFonts w:cs="Arial"/>
        </w:rPr>
      </w:pPr>
      <w:sdt>
        <w:sdtPr>
          <w:rPr>
            <w:rFonts w:cs="Arial"/>
          </w:rPr>
          <w:id w:val="756019630"/>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If the IRB regularly reviews research that involves a category of subjects that is vulnerable to coercion or u</w:t>
      </w:r>
      <w:r>
        <w:rPr>
          <w:rFonts w:cs="Arial"/>
        </w:rPr>
        <w:t xml:space="preserve">ndue influence, such as children, </w:t>
      </w:r>
      <w:r>
        <w:rPr>
          <w:rFonts w:cs="Arial"/>
          <w:u w:val="double"/>
        </w:rPr>
        <w:t>Prisoners</w:t>
      </w:r>
      <w:r>
        <w:rPr>
          <w:rFonts w:cs="Arial"/>
        </w:rPr>
        <w:t xml:space="preserve">, individuals with impaired decision-making capacity, or </w:t>
      </w:r>
      <w:r>
        <w:rPr>
          <w:rFonts w:cs="Arial"/>
        </w:rPr>
        <w:lastRenderedPageBreak/>
        <w:t>economically or educationally disadvantaged persons, the IRB includes of one or more individuals who are knowledgeable about and experienced in working with</w:t>
      </w:r>
      <w:r>
        <w:rPr>
          <w:rFonts w:cs="Arial"/>
        </w:rPr>
        <w:t xml:space="preserve"> these categories of subjects.</w:t>
      </w:r>
    </w:p>
    <w:p w14:paraId="13A0C73A" w14:textId="3EAC247B" w:rsidR="00322776" w:rsidRDefault="00774277">
      <w:pPr>
        <w:pStyle w:val="PrimarySectionTextNoHangingIndent-HCG"/>
        <w:rPr>
          <w:rFonts w:cs="Arial"/>
        </w:rPr>
      </w:pPr>
      <w:sdt>
        <w:sdtPr>
          <w:rPr>
            <w:rFonts w:cs="Arial"/>
          </w:rPr>
          <w:id w:val="209220056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has at least one member who represents the perspective of research subjects.</w:t>
      </w:r>
    </w:p>
    <w:p w14:paraId="36F3B916" w14:textId="32432030" w:rsidR="00322776" w:rsidRDefault="00774277">
      <w:pPr>
        <w:pStyle w:val="PrimarySectionTextNoHangingIndent-HCG"/>
        <w:rPr>
          <w:rFonts w:cs="Arial"/>
        </w:rPr>
      </w:pPr>
      <w:sdt>
        <w:sdtPr>
          <w:rPr>
            <w:rFonts w:cs="Arial"/>
          </w:rPr>
          <w:id w:val="87342571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has no members responsible for business development.</w:t>
      </w:r>
    </w:p>
    <w:p w14:paraId="10ECF23B" w14:textId="6376B89E" w:rsidR="00322776" w:rsidRDefault="00774277">
      <w:pPr>
        <w:pStyle w:val="PrimarySectionTextNoHangingIndent-HCG"/>
        <w:rPr>
          <w:rFonts w:cs="Arial"/>
        </w:rPr>
      </w:pPr>
      <w:sdt>
        <w:sdtPr>
          <w:rPr>
            <w:rFonts w:cs="Arial"/>
          </w:rPr>
          <w:id w:val="-90252770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has no members that own equity in the organization.</w:t>
      </w:r>
    </w:p>
    <w:p w14:paraId="47EB4D59" w14:textId="5AEDFD17" w:rsidR="00322776" w:rsidRDefault="00774277">
      <w:pPr>
        <w:pStyle w:val="SectionHeading-HCG"/>
        <w:numPr>
          <w:ilvl w:val="0"/>
          <w:numId w:val="4"/>
        </w:numPr>
        <w:rPr>
          <w:sz w:val="22"/>
          <w:szCs w:val="22"/>
        </w:rPr>
      </w:pPr>
      <w:r>
        <w:rPr>
          <w:sz w:val="22"/>
          <w:szCs w:val="22"/>
        </w:rPr>
        <w:t>Additio</w:t>
      </w:r>
      <w:r>
        <w:rPr>
          <w:sz w:val="22"/>
          <w:szCs w:val="22"/>
        </w:rPr>
        <w:t>nal Requirements</w:t>
      </w:r>
      <w:r>
        <w:rPr>
          <w:b w:val="0"/>
          <w:bCs w:val="0"/>
          <w:sz w:val="22"/>
          <w:szCs w:val="22"/>
        </w:rPr>
        <w:t xml:space="preserve"> (Check if “</w:t>
      </w:r>
      <w:r>
        <w:rPr>
          <w:sz w:val="22"/>
          <w:szCs w:val="22"/>
        </w:rPr>
        <w:t>Yes</w:t>
      </w:r>
      <w:r>
        <w:rPr>
          <w:b w:val="0"/>
          <w:bCs w:val="0"/>
          <w:sz w:val="22"/>
          <w:szCs w:val="22"/>
        </w:rPr>
        <w:t>”. All must be checked)</w:t>
      </w:r>
      <w:r>
        <w:rPr>
          <w:sz w:val="22"/>
          <w:szCs w:val="22"/>
        </w:rPr>
        <w:t xml:space="preserve">  </w:t>
      </w:r>
    </w:p>
    <w:p w14:paraId="439F45E3" w14:textId="615FECE8" w:rsidR="00322776" w:rsidRDefault="00774277">
      <w:pPr>
        <w:pStyle w:val="PrimarySectionTextNoHangingIndent-HCG"/>
        <w:rPr>
          <w:rFonts w:cs="Arial"/>
        </w:rPr>
      </w:pPr>
      <w:sdt>
        <w:sdtPr>
          <w:rPr>
            <w:rFonts w:cs="Arial"/>
          </w:rPr>
          <w:id w:val="978655909"/>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IRB has an IRB chair.</w:t>
      </w:r>
    </w:p>
    <w:p w14:paraId="5048F632" w14:textId="0195C65F" w:rsidR="00322776" w:rsidRDefault="00774277">
      <w:pPr>
        <w:pStyle w:val="PrimarySectionTextNoHangingIndent-HCG"/>
        <w:rPr>
          <w:rFonts w:cs="Arial"/>
        </w:rPr>
      </w:pPr>
      <w:sdt>
        <w:sdtPr>
          <w:rPr>
            <w:rFonts w:cs="Arial"/>
          </w:rPr>
          <w:id w:val="207885698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There are sufficient alternate IRB members.</w:t>
      </w:r>
    </w:p>
    <w:p w14:paraId="25EC66C3" w14:textId="6D30D50A" w:rsidR="00322776" w:rsidRDefault="00774277">
      <w:pPr>
        <w:pStyle w:val="SectionHeading-HCG"/>
        <w:numPr>
          <w:ilvl w:val="0"/>
          <w:numId w:val="4"/>
        </w:numPr>
        <w:rPr>
          <w:sz w:val="22"/>
          <w:szCs w:val="22"/>
        </w:rPr>
      </w:pPr>
      <w:r>
        <w:rPr>
          <w:sz w:val="22"/>
          <w:szCs w:val="22"/>
        </w:rPr>
        <w:t xml:space="preserve">Composition of an IRB that Reviews Research Involving </w:t>
      </w:r>
      <w:r>
        <w:rPr>
          <w:sz w:val="22"/>
          <w:szCs w:val="22"/>
          <w:u w:val="double"/>
        </w:rPr>
        <w:t>Prisoners</w:t>
      </w:r>
      <w:r>
        <w:rPr>
          <w:b w:val="0"/>
          <w:bCs w:val="0"/>
          <w:sz w:val="22"/>
          <w:szCs w:val="22"/>
        </w:rPr>
        <w:t xml:space="preserve"> (Check if “</w:t>
      </w:r>
      <w:r>
        <w:rPr>
          <w:sz w:val="22"/>
          <w:szCs w:val="22"/>
        </w:rPr>
        <w:t>Yes</w:t>
      </w:r>
      <w:r>
        <w:rPr>
          <w:b w:val="0"/>
          <w:bCs w:val="0"/>
          <w:sz w:val="22"/>
          <w:szCs w:val="22"/>
        </w:rPr>
        <w:t>”. If the IRB reviews research involving Pr</w:t>
      </w:r>
      <w:r>
        <w:rPr>
          <w:b w:val="0"/>
          <w:bCs w:val="0"/>
          <w:sz w:val="22"/>
          <w:szCs w:val="22"/>
        </w:rPr>
        <w:t>isoners, all must be checked)</w:t>
      </w:r>
    </w:p>
    <w:p w14:paraId="29B8E419" w14:textId="40DF4EB6" w:rsidR="00322776" w:rsidRDefault="00774277">
      <w:pPr>
        <w:pStyle w:val="PrimarySectionTextHangingCheckboxes-HCG"/>
        <w:rPr>
          <w:rFonts w:cs="Arial"/>
        </w:rPr>
      </w:pPr>
      <w:sdt>
        <w:sdtPr>
          <w:rPr>
            <w:rFonts w:cs="Arial"/>
          </w:rPr>
          <w:id w:val="113005697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w:t>
      </w:r>
      <w:proofErr w:type="gramStart"/>
      <w:r>
        <w:rPr>
          <w:rFonts w:cs="Arial"/>
        </w:rPr>
        <w:t>A majority of</w:t>
      </w:r>
      <w:proofErr w:type="gramEnd"/>
      <w:r>
        <w:rPr>
          <w:rFonts w:cs="Arial"/>
        </w:rPr>
        <w:t xml:space="preserve"> the Board (exclusive of </w:t>
      </w:r>
      <w:r>
        <w:rPr>
          <w:rFonts w:cs="Arial"/>
          <w:u w:val="double"/>
        </w:rPr>
        <w:t>Prisoner</w:t>
      </w:r>
      <w:r>
        <w:rPr>
          <w:rFonts w:cs="Arial"/>
        </w:rPr>
        <w:t xml:space="preserve"> members) has no association with the prison(s) involved, apart from their membership on the Board.</w:t>
      </w:r>
    </w:p>
    <w:p w14:paraId="6D043865" w14:textId="7D8B0EAE" w:rsidR="00322776" w:rsidRDefault="00774277">
      <w:pPr>
        <w:pStyle w:val="PrimarySectionTextHangingCheckboxes-HCG"/>
        <w:rPr>
          <w:rFonts w:cs="Arial"/>
        </w:rPr>
      </w:pPr>
      <w:sdt>
        <w:sdtPr>
          <w:rPr>
            <w:rFonts w:cs="Arial"/>
          </w:rPr>
          <w:id w:val="-129421529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w:t>
      </w:r>
      <w:r>
        <w:rPr>
          <w:rFonts w:cs="Arial"/>
        </w:rPr>
        <w:t xml:space="preserve">At least one voting member of the Board is a </w:t>
      </w:r>
      <w:r>
        <w:rPr>
          <w:rFonts w:cs="Arial"/>
          <w:u w:val="double"/>
        </w:rPr>
        <w:t>Prisoner</w:t>
      </w:r>
      <w:r>
        <w:rPr>
          <w:rFonts w:cs="Arial"/>
        </w:rPr>
        <w:t xml:space="preserve">, or a </w:t>
      </w:r>
      <w:r>
        <w:rPr>
          <w:rFonts w:cs="Arial"/>
          <w:u w:val="double"/>
        </w:rPr>
        <w:t>Prisoner</w:t>
      </w:r>
      <w:r>
        <w:rPr>
          <w:rFonts w:cs="Arial"/>
        </w:rPr>
        <w:t xml:space="preserve"> representative with appropriate background and experience to serve in that capacity, including a working knowledge of the population to be recruited, a reasonable familiarity with the ope</w:t>
      </w:r>
      <w:r>
        <w:rPr>
          <w:rFonts w:cs="Arial"/>
        </w:rPr>
        <w:t xml:space="preserve">rations of the prison or confinement facility, and any other legally imposed restrictive conditions involved in the research. (The </w:t>
      </w:r>
      <w:r>
        <w:rPr>
          <w:rFonts w:cs="Arial"/>
          <w:u w:val="double"/>
        </w:rPr>
        <w:t>Prisoner</w:t>
      </w:r>
      <w:r>
        <w:rPr>
          <w:rFonts w:cs="Arial"/>
        </w:rPr>
        <w:t xml:space="preserve"> representative may be an alternate member who becomes a voting member when needed.)</w:t>
      </w:r>
    </w:p>
    <w:p w14:paraId="66CAF678" w14:textId="099A0A81" w:rsidR="00322776" w:rsidRDefault="00774277">
      <w:pPr>
        <w:pStyle w:val="SectionHeading-HCG"/>
        <w:numPr>
          <w:ilvl w:val="0"/>
          <w:numId w:val="4"/>
        </w:numPr>
        <w:rPr>
          <w:sz w:val="22"/>
          <w:szCs w:val="22"/>
        </w:rPr>
      </w:pPr>
      <w:r>
        <w:rPr>
          <w:sz w:val="22"/>
          <w:szCs w:val="22"/>
        </w:rPr>
        <w:t>Scope and Composition</w:t>
      </w:r>
      <w:r>
        <w:rPr>
          <w:b w:val="0"/>
          <w:bCs w:val="0"/>
          <w:sz w:val="22"/>
          <w:szCs w:val="22"/>
        </w:rPr>
        <w:t xml:space="preserve"> (Check if </w:t>
      </w:r>
      <w:r>
        <w:rPr>
          <w:b w:val="0"/>
          <w:bCs w:val="0"/>
          <w:sz w:val="22"/>
          <w:szCs w:val="22"/>
        </w:rPr>
        <w:t>“</w:t>
      </w:r>
      <w:r>
        <w:rPr>
          <w:sz w:val="22"/>
          <w:szCs w:val="22"/>
        </w:rPr>
        <w:t>Yes</w:t>
      </w:r>
      <w:r>
        <w:rPr>
          <w:b w:val="0"/>
          <w:bCs w:val="0"/>
          <w:sz w:val="22"/>
          <w:szCs w:val="22"/>
        </w:rPr>
        <w:t>”. All must be checked)</w:t>
      </w:r>
      <w:r>
        <w:rPr>
          <w:sz w:val="22"/>
          <w:szCs w:val="22"/>
        </w:rPr>
        <w:t xml:space="preserve">  </w:t>
      </w:r>
    </w:p>
    <w:p w14:paraId="16B83589" w14:textId="77777777" w:rsidR="00322776" w:rsidRDefault="00322776">
      <w:pPr>
        <w:pStyle w:val="PrimarySectionTextNoHangingIndent-HCG"/>
        <w:rPr>
          <w:rFonts w:cs="Arial"/>
        </w:rPr>
        <w:sectPr w:rsidR="00322776">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p>
    <w:p w14:paraId="6A985991" w14:textId="7382CCF1" w:rsidR="00322776" w:rsidRDefault="00774277">
      <w:pPr>
        <w:pStyle w:val="PrimarySectionTextNoHangingIndent-HCG"/>
        <w:rPr>
          <w:rFonts w:cs="Arial"/>
        </w:rPr>
      </w:pPr>
      <w:sdt>
        <w:sdtPr>
          <w:rPr>
            <w:rFonts w:cs="Arial"/>
          </w:rPr>
          <w:id w:val="158804116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This IRB conducts</w:t>
      </w:r>
      <w:r>
        <w:rPr>
          <w:rFonts w:cs="Arial"/>
        </w:rPr>
        <w:t>: (Select one)</w:t>
      </w:r>
    </w:p>
    <w:p w14:paraId="06946D5B" w14:textId="4ABF673D" w:rsidR="00322776" w:rsidRDefault="00774277">
      <w:pPr>
        <w:pStyle w:val="PrimarySectionTextHangingCheckboxes-HCG"/>
        <w:rPr>
          <w:rFonts w:cs="Arial"/>
        </w:rPr>
      </w:pPr>
      <w:r>
        <w:rPr>
          <w:rFonts w:cs="Arial"/>
        </w:rPr>
        <w:tab/>
      </w:r>
      <w:sdt>
        <w:sdtPr>
          <w:rPr>
            <w:rFonts w:cs="Arial"/>
          </w:rPr>
          <w:id w:val="117507555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All reviews without limitation.</w:t>
      </w:r>
    </w:p>
    <w:p w14:paraId="2BE87CEF" w14:textId="4E9BA7F4" w:rsidR="00322776" w:rsidRDefault="00774277">
      <w:pPr>
        <w:pStyle w:val="PrimarySectionTextHangingCheckboxes-HCG"/>
        <w:ind w:firstLine="0"/>
        <w:rPr>
          <w:rFonts w:cs="Arial"/>
        </w:rPr>
      </w:pPr>
      <w:sdt>
        <w:sdtPr>
          <w:rPr>
            <w:rFonts w:cs="Arial"/>
          </w:rPr>
          <w:id w:val="57223628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Limited to the following types of reviews:</w:t>
      </w:r>
    </w:p>
    <w:p w14:paraId="70142390" w14:textId="09A5C0DA" w:rsidR="00322776" w:rsidRDefault="00774277">
      <w:pPr>
        <w:pStyle w:val="PrimarySectionTextNoHangingIndent-HCG"/>
        <w:rPr>
          <w:rFonts w:cs="Arial"/>
        </w:rPr>
      </w:pPr>
      <w:sdt>
        <w:sdtPr>
          <w:rPr>
            <w:rFonts w:cs="Arial"/>
          </w:rPr>
          <w:id w:val="134798565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type of research reviewed matches the description in the roster.</w:t>
      </w:r>
    </w:p>
    <w:p w14:paraId="25BD273B" w14:textId="61B08214" w:rsidR="00322776" w:rsidRDefault="00774277">
      <w:pPr>
        <w:pStyle w:val="PrimarySectionTextNoHangingIndent-HCG"/>
        <w:rPr>
          <w:rFonts w:cs="Arial"/>
        </w:rPr>
      </w:pPr>
      <w:sdt>
        <w:sdtPr>
          <w:rPr>
            <w:rFonts w:cs="Arial"/>
          </w:rPr>
          <w:id w:val="-72575979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Arial"/>
        </w:rPr>
        <w:t xml:space="preserve"> The composition of the IRB is appropriate to the types of research reviewed.</w:t>
      </w:r>
    </w:p>
    <w:p w14:paraId="4B7B15CD" w14:textId="2541F988" w:rsidR="00322776" w:rsidRDefault="00774277">
      <w:pPr>
        <w:pStyle w:val="PrimarySectionTextNoHangingIndent-HCG"/>
        <w:rPr>
          <w:rFonts w:cs="Arial"/>
        </w:rPr>
      </w:pPr>
      <w:r>
        <w:rPr>
          <w:rFonts w:cs="Arial"/>
        </w:rPr>
        <w:t>Lis</w:t>
      </w:r>
      <w:r>
        <w:rPr>
          <w:rFonts w:cs="Arial"/>
        </w:rPr>
        <w:t>t limitation on types of reviews:</w:t>
      </w:r>
    </w:p>
    <w:sdt>
      <w:sdtPr>
        <w:rPr>
          <w:rFonts w:cs="Arial"/>
        </w:rPr>
        <w:id w:val="-563405390"/>
        <w:placeholder>
          <w:docPart w:val="787B6EAA3D2C478D9EE2A36538957FF4"/>
        </w:placeholder>
        <w:showingPlcHdr/>
      </w:sdtPr>
      <w:sdtEndPr/>
      <w:sdtContent>
        <w:p w14:paraId="02A4B230" w14:textId="77777777" w:rsidR="00322776" w:rsidRDefault="00774277">
          <w:pPr>
            <w:pStyle w:val="PrimarySectionTextNoHangingIndent-HCG"/>
            <w:rPr>
              <w:rStyle w:val="PlaceholderText"/>
            </w:rPr>
          </w:pPr>
          <w:r>
            <w:rPr>
              <w:rStyle w:val="PlaceholderText"/>
            </w:rPr>
            <w:t>Click or tap here to enter text.</w:t>
          </w:r>
        </w:p>
        <w:p w14:paraId="663005C2" w14:textId="77777777" w:rsidR="00322776" w:rsidRDefault="00322776">
          <w:pPr>
            <w:pStyle w:val="PrimarySectionTextNoHangingIndent-HCG"/>
            <w:rPr>
              <w:rFonts w:cs="Arial"/>
            </w:rPr>
          </w:pPr>
        </w:p>
        <w:p w14:paraId="6F0E9EC9" w14:textId="5E93C66C" w:rsidR="00322776" w:rsidRDefault="00774277">
          <w:pPr>
            <w:pStyle w:val="PrimarySectionTextNoHangingIndent-HCG"/>
            <w:rPr>
              <w:rFonts w:cs="Arial"/>
            </w:rPr>
          </w:pPr>
        </w:p>
      </w:sdtContent>
    </w:sdt>
    <w:p w14:paraId="38EE61C7" w14:textId="2C29F366" w:rsidR="00322776" w:rsidRDefault="00322776">
      <w:pPr>
        <w:pStyle w:val="PrimarySectionTextNoHangingIndent-HCG"/>
        <w:rPr>
          <w:rFonts w:cs="Arial"/>
        </w:rPr>
      </w:pPr>
    </w:p>
    <w:p w14:paraId="606B5D4E" w14:textId="11E75D98" w:rsidR="00322776" w:rsidRDefault="00322776">
      <w:pPr>
        <w:pStyle w:val="PrimarySectionTextNoHangingIndent-HCG"/>
        <w:rPr>
          <w:rFonts w:cs="Arial"/>
        </w:rPr>
      </w:pPr>
    </w:p>
    <w:p w14:paraId="33EA7700" w14:textId="77777777" w:rsidR="00322776" w:rsidRDefault="00322776">
      <w:pPr>
        <w:pStyle w:val="PrimarySectionTextNoHangingIndent-HCG"/>
        <w:rPr>
          <w:rFonts w:cs="Arial"/>
        </w:rPr>
        <w:sectPr w:rsidR="00322776">
          <w:type w:val="continuous"/>
          <w:pgSz w:w="12240" w:h="15840"/>
          <w:pgMar w:top="720" w:right="720" w:bottom="720" w:left="720" w:header="720" w:footer="720" w:gutter="0"/>
          <w:cols w:num="2" w:space="720"/>
          <w:titlePg/>
          <w:docGrid w:linePitch="360"/>
        </w:sectPr>
      </w:pPr>
    </w:p>
    <w:p w14:paraId="7D6AA8FD" w14:textId="645CBFB3" w:rsidR="00322776" w:rsidRDefault="00774277">
      <w:pPr>
        <w:pStyle w:val="SectionHeading-HCG"/>
        <w:numPr>
          <w:ilvl w:val="0"/>
          <w:numId w:val="4"/>
        </w:numPr>
        <w:rPr>
          <w:color w:val="F898A6"/>
          <w:sz w:val="22"/>
          <w:szCs w:val="22"/>
        </w:rPr>
      </w:pPr>
      <w:r>
        <w:rPr>
          <w:color w:val="F898A6"/>
          <w:sz w:val="22"/>
          <w:szCs w:val="22"/>
        </w:rPr>
        <w:t xml:space="preserve">Composition of an IRB that Reviews Veterans Administration (VA) Research </w:t>
      </w:r>
      <w:r>
        <w:rPr>
          <w:b w:val="0"/>
          <w:bCs w:val="0"/>
          <w:color w:val="F898A6"/>
          <w:sz w:val="22"/>
          <w:szCs w:val="22"/>
        </w:rPr>
        <w:t>(Check if “Yes”. If the IRB reviews VA research, all must be checked)</w:t>
      </w:r>
      <w:r>
        <w:rPr>
          <w:color w:val="F898A6"/>
          <w:sz w:val="22"/>
          <w:szCs w:val="22"/>
        </w:rPr>
        <w:t xml:space="preserve">  </w:t>
      </w:r>
    </w:p>
    <w:p w14:paraId="412F04D0" w14:textId="3AC9D2D9" w:rsidR="00322776" w:rsidRDefault="00774277">
      <w:pPr>
        <w:pStyle w:val="PrimarySectionTextHangingCheckboxes-HCG"/>
        <w:rPr>
          <w:rFonts w:cs="Arial"/>
          <w:color w:val="F898A6"/>
        </w:rPr>
      </w:pPr>
      <w:sdt>
        <w:sdtPr>
          <w:rPr>
            <w:rFonts w:cs="Arial"/>
            <w:color w:val="F898A6"/>
          </w:rPr>
          <w:id w:val="742994679"/>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The IRB </w:t>
      </w:r>
      <w:r>
        <w:rPr>
          <w:rFonts w:cs="Arial"/>
          <w:color w:val="F898A6"/>
        </w:rPr>
        <w:t xml:space="preserve">has no voting member who is a VA facility research office staff member including, but not limited to, the Associated Chief of Staff (ACOS) for R&amp;D, the Administrative Officer (AO) for R&amp;D, and IRB administrative staff. </w:t>
      </w:r>
      <w:r>
        <w:rPr>
          <w:rFonts w:cs="Arial"/>
          <w:i/>
          <w:iCs/>
          <w:color w:val="F898A6"/>
        </w:rPr>
        <w:t>They may serve as ex officio, non-vot</w:t>
      </w:r>
      <w:r>
        <w:rPr>
          <w:rFonts w:cs="Arial"/>
          <w:i/>
          <w:iCs/>
          <w:color w:val="F898A6"/>
        </w:rPr>
        <w:t>ing members or attendees; however, they and the IRB must be sensitive to any potential, actual, apparent, or perceived conflicts of interest and appropriately manage such conflicts.</w:t>
      </w:r>
    </w:p>
    <w:p w14:paraId="4748E301" w14:textId="48BA9DA1" w:rsidR="00322776" w:rsidRDefault="00774277">
      <w:pPr>
        <w:pStyle w:val="PrimarySectionTextHangingCheckboxes-HCG"/>
        <w:rPr>
          <w:rFonts w:cs="Arial"/>
          <w:color w:val="F898A6"/>
        </w:rPr>
      </w:pPr>
      <w:sdt>
        <w:sdtPr>
          <w:rPr>
            <w:rFonts w:cs="Arial"/>
            <w:color w:val="F898A6"/>
          </w:rPr>
          <w:id w:val="324866692"/>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The IRB has no member who is a Research Compliance Officer (RCO). RCOs</w:t>
      </w:r>
      <w:r>
        <w:rPr>
          <w:rFonts w:cs="Arial"/>
          <w:color w:val="F898A6"/>
        </w:rPr>
        <w:t xml:space="preserve"> may attend IRB meetings when requested by the IRB or as specified by the IRB’s standard operating procedures (SOPs) as consultants.</w:t>
      </w:r>
    </w:p>
    <w:p w14:paraId="3328212A" w14:textId="3E678D9B" w:rsidR="00322776" w:rsidRDefault="00774277">
      <w:pPr>
        <w:pStyle w:val="PrimarySectionTextHangingCheckboxes-HCG"/>
        <w:rPr>
          <w:rFonts w:cs="Arial"/>
          <w:color w:val="F898A6"/>
        </w:rPr>
      </w:pPr>
      <w:sdt>
        <w:sdtPr>
          <w:rPr>
            <w:rFonts w:cs="Arial"/>
            <w:color w:val="F898A6"/>
          </w:rPr>
          <w:id w:val="-458568751"/>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The Privacy Officer (PO) and the Information System Security Officer (ISSO) serve in an advisory capacity as either non</w:t>
      </w:r>
      <w:r>
        <w:rPr>
          <w:rFonts w:cs="Arial"/>
          <w:color w:val="F898A6"/>
        </w:rPr>
        <w:t>-voting members or as consultants.</w:t>
      </w:r>
    </w:p>
    <w:p w14:paraId="12E4F28E" w14:textId="55CF33D4" w:rsidR="00322776" w:rsidRDefault="00774277">
      <w:pPr>
        <w:pStyle w:val="PrimarySectionTextHangingCheckboxes-HCG"/>
        <w:rPr>
          <w:rFonts w:cs="Arial"/>
          <w:color w:val="F898A6"/>
        </w:rPr>
      </w:pPr>
      <w:sdt>
        <w:sdtPr>
          <w:rPr>
            <w:rFonts w:cs="Arial"/>
            <w:color w:val="F898A6"/>
          </w:rPr>
          <w:id w:val="1259955550"/>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The IRB has no member who is a Facility Director, his/her administrative staff, COS, other facility senior administrators such as Associate or Assistant Directors or Chief Nurse, and NPC Administrative.</w:t>
      </w:r>
    </w:p>
    <w:p w14:paraId="6ED5F0C5" w14:textId="76B568DE" w:rsidR="00322776" w:rsidRDefault="00774277">
      <w:pPr>
        <w:pStyle w:val="PrimarySectionTextHangingCheckboxes-HCG"/>
        <w:rPr>
          <w:rFonts w:cs="Arial"/>
          <w:color w:val="F898A6"/>
        </w:rPr>
      </w:pPr>
      <w:sdt>
        <w:sdtPr>
          <w:rPr>
            <w:rFonts w:cs="Arial"/>
            <w:color w:val="F898A6"/>
          </w:rPr>
          <w:id w:val="-395126858"/>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w:t>
      </w:r>
      <w:r>
        <w:rPr>
          <w:rFonts w:cs="Arial"/>
          <w:color w:val="F898A6"/>
        </w:rPr>
        <w:t xml:space="preserve">Alternate members must have qualifications </w:t>
      </w:r>
      <w:proofErr w:type="gramStart"/>
      <w:r>
        <w:rPr>
          <w:rFonts w:cs="Arial"/>
          <w:color w:val="F898A6"/>
        </w:rPr>
        <w:t>similar to</w:t>
      </w:r>
      <w:proofErr w:type="gramEnd"/>
      <w:r>
        <w:rPr>
          <w:rFonts w:cs="Arial"/>
          <w:color w:val="F898A6"/>
        </w:rPr>
        <w:t xml:space="preserve"> the member they replace.</w:t>
      </w:r>
    </w:p>
    <w:p w14:paraId="08F174DC" w14:textId="6606073A" w:rsidR="00322776" w:rsidRDefault="00774277">
      <w:pPr>
        <w:pStyle w:val="PrimarySectionTextHangingCheckboxes-HCG"/>
        <w:rPr>
          <w:rFonts w:cs="Arial"/>
          <w:i/>
          <w:iCs/>
          <w:color w:val="F898A6"/>
        </w:rPr>
      </w:pPr>
      <w:sdt>
        <w:sdtPr>
          <w:rPr>
            <w:rFonts w:cs="Arial"/>
            <w:color w:val="F898A6"/>
          </w:rPr>
          <w:id w:val="1090888064"/>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Every effort has been made to include a Veteran or Veteran representative as part of the fulfillment of the requirement of relevant diversity of experience and expertise. </w:t>
      </w:r>
      <w:r>
        <w:rPr>
          <w:rFonts w:cs="Arial"/>
          <w:i/>
          <w:iCs/>
          <w:color w:val="F898A6"/>
        </w:rPr>
        <w:t>VA</w:t>
      </w:r>
      <w:r>
        <w:rPr>
          <w:rFonts w:cs="Arial"/>
          <w:i/>
          <w:iCs/>
          <w:color w:val="F898A6"/>
        </w:rPr>
        <w:t xml:space="preserve"> representation on external IRBs, such as academic IRBs, is optional and at the discretion of the IO and the external IRB.</w:t>
      </w:r>
    </w:p>
    <w:p w14:paraId="5037FA1D" w14:textId="2B5745E9" w:rsidR="00322776" w:rsidRDefault="00774277">
      <w:pPr>
        <w:pStyle w:val="PrimarySectionTextHangingCheckboxes-HCG"/>
        <w:rPr>
          <w:rFonts w:cs="Arial"/>
          <w:color w:val="F898A6"/>
        </w:rPr>
      </w:pPr>
      <w:sdt>
        <w:sdtPr>
          <w:rPr>
            <w:rFonts w:cs="Arial"/>
            <w:color w:val="F898A6"/>
          </w:rPr>
          <w:id w:val="1681468351"/>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The IRB has at least one voting member who is not otherwise affiliated with the institution and who is not part of the immediate </w:t>
      </w:r>
      <w:r>
        <w:rPr>
          <w:rFonts w:cs="Arial"/>
          <w:color w:val="F898A6"/>
        </w:rPr>
        <w:t xml:space="preserve">family of a person who is affiliated with the institution.  Retired VA employees who are receiving VA retirement benefits </w:t>
      </w:r>
      <w:proofErr w:type="gramStart"/>
      <w:r>
        <w:rPr>
          <w:rFonts w:cs="Arial"/>
          <w:color w:val="F898A6"/>
        </w:rPr>
        <w:t>are considered to be</w:t>
      </w:r>
      <w:proofErr w:type="gramEnd"/>
      <w:r>
        <w:rPr>
          <w:rFonts w:cs="Arial"/>
          <w:color w:val="F898A6"/>
        </w:rPr>
        <w:t xml:space="preserve"> affiliated when they are members of a VA IRB. Veterans whose only relationship with VA is receiving care at a VA </w:t>
      </w:r>
      <w:r>
        <w:rPr>
          <w:rFonts w:cs="Arial"/>
          <w:color w:val="F898A6"/>
        </w:rPr>
        <w:t>facility or receiving benefits from the Veterans Benefits Administration are considered unaffiliated.</w:t>
      </w:r>
    </w:p>
    <w:p w14:paraId="479C15BE" w14:textId="2DF95593" w:rsidR="00322776" w:rsidRDefault="00774277">
      <w:pPr>
        <w:pStyle w:val="SectionHeading-HCG"/>
        <w:numPr>
          <w:ilvl w:val="0"/>
          <w:numId w:val="4"/>
        </w:numPr>
        <w:rPr>
          <w:color w:val="F898A6"/>
          <w:sz w:val="22"/>
          <w:szCs w:val="22"/>
        </w:rPr>
      </w:pPr>
      <w:r>
        <w:rPr>
          <w:color w:val="F898A6"/>
          <w:sz w:val="22"/>
          <w:szCs w:val="22"/>
        </w:rPr>
        <w:t xml:space="preserve">Composition of a Veterans Administration (VA) IRB </w:t>
      </w:r>
      <w:r>
        <w:rPr>
          <w:b w:val="0"/>
          <w:bCs w:val="0"/>
          <w:color w:val="F898A6"/>
          <w:sz w:val="22"/>
          <w:szCs w:val="22"/>
        </w:rPr>
        <w:t>(Check if “Yes”. If the IRB is a VA IRB, all must be checked)</w:t>
      </w:r>
      <w:r>
        <w:rPr>
          <w:color w:val="F898A6"/>
          <w:sz w:val="22"/>
          <w:szCs w:val="22"/>
        </w:rPr>
        <w:t xml:space="preserve">  </w:t>
      </w:r>
    </w:p>
    <w:p w14:paraId="2D729E49" w14:textId="6D41B841" w:rsidR="00322776" w:rsidRDefault="00774277">
      <w:pPr>
        <w:pStyle w:val="PrimarySectionTextHangingCheckboxes-HCG"/>
        <w:rPr>
          <w:rFonts w:cs="Arial"/>
          <w:color w:val="F898A6"/>
        </w:rPr>
      </w:pPr>
      <w:sdt>
        <w:sdtPr>
          <w:rPr>
            <w:rFonts w:cs="Arial"/>
            <w:color w:val="F898A6"/>
          </w:rPr>
          <w:id w:val="-686599418"/>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The IRB chairs, co-chairs, and vice </w:t>
      </w:r>
      <w:r>
        <w:rPr>
          <w:rFonts w:cs="Arial"/>
          <w:color w:val="F898A6"/>
        </w:rPr>
        <w:t>chairs are paid VA employees (i.e., not have a WOC or IPA appointment).</w:t>
      </w:r>
    </w:p>
    <w:p w14:paraId="31877291" w14:textId="20D0E07A" w:rsidR="00322776" w:rsidRDefault="00774277">
      <w:pPr>
        <w:pStyle w:val="PrimarySectionTextHangingCheckboxes-HCG"/>
        <w:rPr>
          <w:rFonts w:cs="Arial"/>
          <w:color w:val="F898A6"/>
        </w:rPr>
      </w:pPr>
      <w:sdt>
        <w:sdtPr>
          <w:rPr>
            <w:rFonts w:cs="Arial"/>
            <w:color w:val="F898A6"/>
          </w:rPr>
          <w:id w:val="-930122025"/>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The IRB chairs, co-chairs, and vice chairs are appointed by the </w:t>
      </w:r>
      <w:r>
        <w:rPr>
          <w:rFonts w:cs="Arial"/>
          <w:color w:val="F898A6"/>
          <w:u w:val="double"/>
        </w:rPr>
        <w:t>Institutional Official/Organizational Official (IO/OO)</w:t>
      </w:r>
      <w:r>
        <w:rPr>
          <w:rFonts w:cs="Arial"/>
          <w:color w:val="F898A6"/>
        </w:rPr>
        <w:t xml:space="preserve"> for a term of up to three years.</w:t>
      </w:r>
    </w:p>
    <w:p w14:paraId="027B0D46" w14:textId="22C283BA" w:rsidR="00322776" w:rsidRDefault="00774277">
      <w:pPr>
        <w:pStyle w:val="PrimarySectionTextHangingCheckboxes-HCG"/>
        <w:rPr>
          <w:rFonts w:cs="Arial"/>
          <w:color w:val="F898A6"/>
        </w:rPr>
      </w:pPr>
      <w:sdt>
        <w:sdtPr>
          <w:rPr>
            <w:rFonts w:cs="Arial"/>
            <w:color w:val="F898A6"/>
          </w:rPr>
          <w:id w:val="1753549933"/>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There may be one IRB </w:t>
      </w:r>
      <w:r>
        <w:rPr>
          <w:rFonts w:cs="Arial"/>
          <w:color w:val="F898A6"/>
        </w:rPr>
        <w:t>chair, co-chairs, or a chair and vice chair.</w:t>
      </w:r>
    </w:p>
    <w:p w14:paraId="6FD9C156" w14:textId="271824F0" w:rsidR="00322776" w:rsidRDefault="00774277">
      <w:pPr>
        <w:pStyle w:val="PrimarySectionTextHangingCheckboxes-HCG"/>
        <w:rPr>
          <w:rFonts w:cs="Arial"/>
          <w:color w:val="F898A6"/>
        </w:rPr>
      </w:pPr>
      <w:sdt>
        <w:sdtPr>
          <w:rPr>
            <w:rFonts w:cs="Arial"/>
            <w:color w:val="F898A6"/>
          </w:rPr>
          <w:id w:val="-1955478177"/>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The IRB chair, co-chairs, and vice chairs may be voting members of the IRB.</w:t>
      </w:r>
    </w:p>
    <w:p w14:paraId="37E44EDC" w14:textId="72B2A810" w:rsidR="00322776" w:rsidRDefault="00774277">
      <w:pPr>
        <w:pStyle w:val="PrimarySectionTextHangingCheckboxes-HCG"/>
        <w:rPr>
          <w:rFonts w:cs="Arial"/>
          <w:color w:val="F898A6"/>
        </w:rPr>
      </w:pPr>
      <w:sdt>
        <w:sdtPr>
          <w:rPr>
            <w:rFonts w:cs="Arial"/>
            <w:color w:val="F898A6"/>
          </w:rPr>
          <w:id w:val="1639755423"/>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Voting members are appointed by the </w:t>
      </w:r>
      <w:r>
        <w:rPr>
          <w:rFonts w:cs="Arial"/>
          <w:color w:val="F898A6"/>
          <w:u w:val="double"/>
        </w:rPr>
        <w:t>IO/OO</w:t>
      </w:r>
      <w:r>
        <w:rPr>
          <w:rFonts w:cs="Arial"/>
          <w:color w:val="F898A6"/>
        </w:rPr>
        <w:t xml:space="preserve"> for a term of up to three </w:t>
      </w:r>
      <w:proofErr w:type="gramStart"/>
      <w:r>
        <w:rPr>
          <w:rFonts w:cs="Arial"/>
          <w:color w:val="F898A6"/>
        </w:rPr>
        <w:t>years, and</w:t>
      </w:r>
      <w:proofErr w:type="gramEnd"/>
      <w:r>
        <w:rPr>
          <w:rFonts w:cs="Arial"/>
          <w:color w:val="F898A6"/>
        </w:rPr>
        <w:t xml:space="preserve"> may be re-appointed indefinitely.</w:t>
      </w:r>
    </w:p>
    <w:p w14:paraId="028E4483" w14:textId="2DA9E40D" w:rsidR="00322776" w:rsidRDefault="00774277">
      <w:pPr>
        <w:pStyle w:val="PrimarySectionTextHangingCheckboxes-HCG"/>
        <w:rPr>
          <w:rFonts w:cs="Arial"/>
          <w:color w:val="F898A6"/>
        </w:rPr>
      </w:pPr>
      <w:sdt>
        <w:sdtPr>
          <w:rPr>
            <w:rFonts w:cs="Arial"/>
            <w:color w:val="F898A6"/>
          </w:rPr>
          <w:id w:val="1022206189"/>
          <w14:checkbox>
            <w14:checked w14:val="0"/>
            <w14:checkedState w14:val="2612" w14:font="MS Gothic"/>
            <w14:uncheckedState w14:val="2610" w14:font="MS Gothic"/>
          </w14:checkbox>
        </w:sdtPr>
        <w:sdtEndPr/>
        <w:sdtContent>
          <w:r>
            <w:rPr>
              <w:rFonts w:ascii="Segoe UI Symbol" w:eastAsia="MS Gothic" w:hAnsi="Segoe UI Symbol" w:cs="Segoe UI Symbol"/>
              <w:color w:val="F898A6"/>
            </w:rPr>
            <w:t>☐</w:t>
          </w:r>
        </w:sdtContent>
      </w:sdt>
      <w:r>
        <w:rPr>
          <w:rFonts w:cs="Arial"/>
          <w:color w:val="F898A6"/>
        </w:rPr>
        <w:t xml:space="preserve"> A VA facil</w:t>
      </w:r>
      <w:r>
        <w:rPr>
          <w:rFonts w:cs="Arial"/>
          <w:color w:val="F898A6"/>
        </w:rPr>
        <w:t>ity’s own internal IRB cannot serve as an IRB of Record for any non-VA entity except a DoD facility, Department of Energy laboratory, or a VA nonprofit research and education corporations (NPC).</w:t>
      </w:r>
    </w:p>
    <w:p w14:paraId="6DAEDF0F" w14:textId="77777777" w:rsidR="00322776" w:rsidRDefault="00322776">
      <w:pPr>
        <w:pStyle w:val="SecondarySub-SectionText-HCG"/>
        <w:ind w:left="0" w:firstLine="0"/>
        <w:rPr>
          <w:rFonts w:cs="Arial"/>
        </w:rPr>
      </w:pPr>
    </w:p>
    <w:sectPr w:rsidR="0032277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3D32" w14:textId="77777777" w:rsidR="00887407" w:rsidRDefault="00887407" w:rsidP="00855EE6">
      <w:pPr>
        <w:spacing w:after="0" w:line="240" w:lineRule="auto"/>
      </w:pPr>
      <w:r>
        <w:separator/>
      </w:r>
    </w:p>
  </w:endnote>
  <w:endnote w:type="continuationSeparator" w:id="0">
    <w:p w14:paraId="18188EC2" w14:textId="77777777" w:rsidR="00887407" w:rsidRDefault="00887407" w:rsidP="00855EE6">
      <w:pPr>
        <w:spacing w:after="0" w:line="240" w:lineRule="auto"/>
      </w:pPr>
      <w:r>
        <w:continuationSeparator/>
      </w:r>
    </w:p>
  </w:endnote>
  <w:endnote w:type="continuationNotice" w:id="1">
    <w:p w14:paraId="2EEF60D1" w14:textId="77777777" w:rsidR="00887407" w:rsidRDefault="00887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8E4B"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97760CC" w14:textId="6DF68FBE" w:rsidR="006432D4" w:rsidRDefault="00363795" w:rsidP="00363795">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rsidR="00DE47FC" w:rsidRDefault="00774277" w:rsidP="00DE47FC">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1C634EBE" w14:textId="77777777" w:rsidR="006432D4" w:rsidRDefault="00363795" w:rsidP="00363795">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2018"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9E9D82D" w14:textId="198E8B5E" w:rsidR="006432D4" w:rsidRDefault="00363795" w:rsidP="00363795">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2CA2D390" w14:textId="77777777" w:rsidR="00DE47FC" w:rsidRDefault="00774277" w:rsidP="00DE47FC">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7D9B0D0E" w14:textId="77777777" w:rsidR="006432D4" w:rsidRDefault="00363795" w:rsidP="00363795">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8C27" w14:textId="77777777" w:rsidR="00887407" w:rsidRDefault="00887407" w:rsidP="00855EE6">
      <w:pPr>
        <w:spacing w:after="0" w:line="240" w:lineRule="auto"/>
      </w:pPr>
      <w:r>
        <w:separator/>
      </w:r>
    </w:p>
  </w:footnote>
  <w:footnote w:type="continuationSeparator" w:id="0">
    <w:p w14:paraId="4C880E69" w14:textId="77777777" w:rsidR="00887407" w:rsidRDefault="00887407" w:rsidP="00855EE6">
      <w:pPr>
        <w:spacing w:after="0" w:line="240" w:lineRule="auto"/>
      </w:pPr>
      <w:r>
        <w:continuationSeparator/>
      </w:r>
    </w:p>
  </w:footnote>
  <w:footnote w:type="continuationNotice" w:id="1">
    <w:p w14:paraId="2E2C3099" w14:textId="77777777" w:rsidR="00887407" w:rsidRDefault="008874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3680544D"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F27D" w14:textId="7027E02E" w:rsidR="00BC4C06" w:rsidRDefault="00363795" w:rsidP="00BC4C06">
    <w:pPr>
      <w:pStyle w:val="Header"/>
      <w:jc w:val="center"/>
    </w:pPr>
    <w:r>
      <w:rPr>
        <w:noProof/>
      </w:rPr>
      <w:drawing>
        <wp:inline distT="0" distB="0" distL="0" distR="0" wp14:anchorId="69E28FB8" wp14:editId="33B0814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Id1" cstate="print"/>
                  <a:stretch>
                    <a:fillRect/>
                  </a:stretch>
                </pic:blipFill>
                <pic:spPr>
                  <a:xfrm>
                    <a:off x="0" y="0"/>
                    <a:ext cx="1790700" cy="571500"/>
                  </a:xfrm>
                  <a:prstGeom prst="rect">
                    <a:avLst/>
                  </a:prstGeom>
                </pic:spPr>
              </pic:pic>
            </a:graphicData>
          </a:graphic>
        </wp:inline>
      </w:drawing>
    </w:r>
  </w:p>
  <w:p w14:paraId="3601D21C" w14:textId="77777777" w:rsidR="00BC345E" w:rsidRDefault="00BC345E"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6F0F09"/>
    <w:multiLevelType w:val="hybridMultilevel"/>
    <w:tmpl w:val="9FBA08A0"/>
    <w:lvl w:ilvl="0" w:tplc="89A271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A21BF6"/>
    <w:multiLevelType w:val="hybridMultilevel"/>
    <w:tmpl w:val="40B27F76"/>
    <w:lvl w:ilvl="0" w:tplc="16C4D3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1"/>
  </w:num>
  <w:num w:numId="2" w16cid:durableId="506023898">
    <w:abstractNumId w:val="4"/>
  </w:num>
  <w:num w:numId="3" w16cid:durableId="479153856">
    <w:abstractNumId w:val="0"/>
  </w:num>
  <w:num w:numId="4" w16cid:durableId="425880174">
    <w:abstractNumId w:val="3"/>
  </w:num>
  <w:num w:numId="5" w16cid:durableId="302278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23AF8"/>
    <w:rsid w:val="00051898"/>
    <w:rsid w:val="00063436"/>
    <w:rsid w:val="00073852"/>
    <w:rsid w:val="0007512F"/>
    <w:rsid w:val="00082AFF"/>
    <w:rsid w:val="00082E2E"/>
    <w:rsid w:val="00095BC7"/>
    <w:rsid w:val="000D08DC"/>
    <w:rsid w:val="000E220B"/>
    <w:rsid w:val="000F36E1"/>
    <w:rsid w:val="000F5F1B"/>
    <w:rsid w:val="00106112"/>
    <w:rsid w:val="00107F49"/>
    <w:rsid w:val="00112F1A"/>
    <w:rsid w:val="00147307"/>
    <w:rsid w:val="00150F7C"/>
    <w:rsid w:val="00162C5E"/>
    <w:rsid w:val="00170F88"/>
    <w:rsid w:val="001C5CD8"/>
    <w:rsid w:val="001D6859"/>
    <w:rsid w:val="001E6EA8"/>
    <w:rsid w:val="001F5F89"/>
    <w:rsid w:val="001F6AEF"/>
    <w:rsid w:val="00205288"/>
    <w:rsid w:val="00212DD9"/>
    <w:rsid w:val="00216912"/>
    <w:rsid w:val="0024381C"/>
    <w:rsid w:val="00272E9B"/>
    <w:rsid w:val="0028011E"/>
    <w:rsid w:val="002976CB"/>
    <w:rsid w:val="002A0DD4"/>
    <w:rsid w:val="002B5CF2"/>
    <w:rsid w:val="002B681F"/>
    <w:rsid w:val="00321AAF"/>
    <w:rsid w:val="00322776"/>
    <w:rsid w:val="00323EEF"/>
    <w:rsid w:val="00326970"/>
    <w:rsid w:val="00336B60"/>
    <w:rsid w:val="0035722D"/>
    <w:rsid w:val="00363795"/>
    <w:rsid w:val="00363E32"/>
    <w:rsid w:val="003C3059"/>
    <w:rsid w:val="003D4E6C"/>
    <w:rsid w:val="003E5AE2"/>
    <w:rsid w:val="003F727A"/>
    <w:rsid w:val="00413B76"/>
    <w:rsid w:val="00420ABF"/>
    <w:rsid w:val="00433C87"/>
    <w:rsid w:val="00464FA9"/>
    <w:rsid w:val="00492E29"/>
    <w:rsid w:val="004A3246"/>
    <w:rsid w:val="004B05DE"/>
    <w:rsid w:val="004B15E4"/>
    <w:rsid w:val="004D0EE0"/>
    <w:rsid w:val="004D6D9D"/>
    <w:rsid w:val="004D70DA"/>
    <w:rsid w:val="004E45CA"/>
    <w:rsid w:val="00512CDD"/>
    <w:rsid w:val="00534ECB"/>
    <w:rsid w:val="00555522"/>
    <w:rsid w:val="005561BB"/>
    <w:rsid w:val="00560E7E"/>
    <w:rsid w:val="00574247"/>
    <w:rsid w:val="0058236F"/>
    <w:rsid w:val="00594A69"/>
    <w:rsid w:val="005B76D3"/>
    <w:rsid w:val="005D7E7E"/>
    <w:rsid w:val="006016A6"/>
    <w:rsid w:val="00605B9E"/>
    <w:rsid w:val="00612FDA"/>
    <w:rsid w:val="0062282F"/>
    <w:rsid w:val="00625EFE"/>
    <w:rsid w:val="00630718"/>
    <w:rsid w:val="00636276"/>
    <w:rsid w:val="006432D4"/>
    <w:rsid w:val="00650A58"/>
    <w:rsid w:val="0065577B"/>
    <w:rsid w:val="00656111"/>
    <w:rsid w:val="00667C3C"/>
    <w:rsid w:val="0067200B"/>
    <w:rsid w:val="006752DE"/>
    <w:rsid w:val="00675EB8"/>
    <w:rsid w:val="0069057F"/>
    <w:rsid w:val="00691A3B"/>
    <w:rsid w:val="006C3173"/>
    <w:rsid w:val="006D056E"/>
    <w:rsid w:val="006D6599"/>
    <w:rsid w:val="006E3C7F"/>
    <w:rsid w:val="006E754F"/>
    <w:rsid w:val="006F23D2"/>
    <w:rsid w:val="00724781"/>
    <w:rsid w:val="00726F23"/>
    <w:rsid w:val="007469E0"/>
    <w:rsid w:val="00774277"/>
    <w:rsid w:val="0079097E"/>
    <w:rsid w:val="007912B3"/>
    <w:rsid w:val="0082066E"/>
    <w:rsid w:val="008209B8"/>
    <w:rsid w:val="00821C23"/>
    <w:rsid w:val="0083413E"/>
    <w:rsid w:val="0084152D"/>
    <w:rsid w:val="008424AD"/>
    <w:rsid w:val="00844C43"/>
    <w:rsid w:val="00855EE6"/>
    <w:rsid w:val="008575BF"/>
    <w:rsid w:val="0086083E"/>
    <w:rsid w:val="0087099C"/>
    <w:rsid w:val="00872DA6"/>
    <w:rsid w:val="00887407"/>
    <w:rsid w:val="00892C6A"/>
    <w:rsid w:val="00893D51"/>
    <w:rsid w:val="008B0231"/>
    <w:rsid w:val="008B32E5"/>
    <w:rsid w:val="008B3D20"/>
    <w:rsid w:val="008D575F"/>
    <w:rsid w:val="008E54A4"/>
    <w:rsid w:val="009030FC"/>
    <w:rsid w:val="0090358C"/>
    <w:rsid w:val="0090723A"/>
    <w:rsid w:val="00914425"/>
    <w:rsid w:val="00917358"/>
    <w:rsid w:val="00926535"/>
    <w:rsid w:val="00933B0E"/>
    <w:rsid w:val="0093400D"/>
    <w:rsid w:val="0093623D"/>
    <w:rsid w:val="00952787"/>
    <w:rsid w:val="00972B4F"/>
    <w:rsid w:val="009C1EE8"/>
    <w:rsid w:val="009D7303"/>
    <w:rsid w:val="00A446F1"/>
    <w:rsid w:val="00A56818"/>
    <w:rsid w:val="00AA2664"/>
    <w:rsid w:val="00AA4BF9"/>
    <w:rsid w:val="00AB4B74"/>
    <w:rsid w:val="00AC1B56"/>
    <w:rsid w:val="00AC2F0C"/>
    <w:rsid w:val="00B07D12"/>
    <w:rsid w:val="00B23768"/>
    <w:rsid w:val="00B23D93"/>
    <w:rsid w:val="00B40009"/>
    <w:rsid w:val="00B54DF7"/>
    <w:rsid w:val="00B61F4A"/>
    <w:rsid w:val="00B758C3"/>
    <w:rsid w:val="00BB2AC7"/>
    <w:rsid w:val="00BC04AA"/>
    <w:rsid w:val="00BC345E"/>
    <w:rsid w:val="00BC4C06"/>
    <w:rsid w:val="00BC6908"/>
    <w:rsid w:val="00BD5778"/>
    <w:rsid w:val="00BE5688"/>
    <w:rsid w:val="00BF2F85"/>
    <w:rsid w:val="00C03520"/>
    <w:rsid w:val="00C11900"/>
    <w:rsid w:val="00C271BB"/>
    <w:rsid w:val="00C64784"/>
    <w:rsid w:val="00C75CAF"/>
    <w:rsid w:val="00C85B14"/>
    <w:rsid w:val="00CA076B"/>
    <w:rsid w:val="00CA6374"/>
    <w:rsid w:val="00CB0150"/>
    <w:rsid w:val="00CB0F42"/>
    <w:rsid w:val="00CC6BE4"/>
    <w:rsid w:val="00CD725A"/>
    <w:rsid w:val="00CF1142"/>
    <w:rsid w:val="00D134E0"/>
    <w:rsid w:val="00D35E6A"/>
    <w:rsid w:val="00D6645A"/>
    <w:rsid w:val="00D6752B"/>
    <w:rsid w:val="00DD51AB"/>
    <w:rsid w:val="00E0288C"/>
    <w:rsid w:val="00E0371D"/>
    <w:rsid w:val="00E13B3A"/>
    <w:rsid w:val="00E33C34"/>
    <w:rsid w:val="00E34769"/>
    <w:rsid w:val="00E3633C"/>
    <w:rsid w:val="00E80A2D"/>
    <w:rsid w:val="00E9748E"/>
    <w:rsid w:val="00EA6624"/>
    <w:rsid w:val="00EE39FA"/>
    <w:rsid w:val="00EF09C7"/>
    <w:rsid w:val="00EF642F"/>
    <w:rsid w:val="00EF7030"/>
    <w:rsid w:val="00F004FD"/>
    <w:rsid w:val="00F03F9B"/>
    <w:rsid w:val="00F116D8"/>
    <w:rsid w:val="00F22E9F"/>
    <w:rsid w:val="00F2676B"/>
    <w:rsid w:val="00F27975"/>
    <w:rsid w:val="00F40567"/>
    <w:rsid w:val="00F84AEF"/>
    <w:rsid w:val="00FA6F1C"/>
    <w:rsid w:val="00FE1639"/>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PlaceholderText">
    <w:name w:val="Placeholder Text"/>
    <w:basedOn w:val="DefaultParagraphFont"/>
    <w:uiPriority w:val="99"/>
    <w:semiHidden/>
    <w:rPr>
      <w:color w:val="808080"/>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B6EAA3D2C478D9EE2A36538957FF4"/>
        <w:category>
          <w:name w:val="General"/>
          <w:gallery w:val="placeholder"/>
        </w:category>
        <w:types>
          <w:type w:val="bbPlcHdr"/>
        </w:types>
        <w:behaviors>
          <w:behavior w:val="content"/>
        </w:behaviors>
        <w:guid w:val="{A3DA2585-CF7F-4D9D-AD59-A4008C49574E}"/>
      </w:docPartPr>
      <w:docPartBody>
        <w:p w:rsidR="00BC2BE9" w:rsidRDefault="00BC2BE9" w:rsidP="00FE1639">
          <w:pPr>
            <w:pStyle w:val="PrimarySectionTextNoHangingIndent-HCG"/>
            <w:rPr>
              <w:rStyle w:val="PlaceholderText"/>
            </w:rPr>
          </w:pPr>
          <w:r w:rsidRPr="009865EE">
            <w:rPr>
              <w:rStyle w:val="PlaceholderText"/>
            </w:rPr>
            <w:t>Click or tap here to enter text.</w:t>
          </w:r>
        </w:p>
        <w:p w:rsidR="00BC2BE9" w:rsidRDefault="00BC2BE9" w:rsidP="00FE1639">
          <w:pPr>
            <w:pStyle w:val="PrimarySectionTextNoHangingIndent-HCG"/>
            <w:rPr>
              <w:rFonts w:cs="Arial"/>
            </w:rPr>
          </w:pPr>
        </w:p>
        <w:p w:rsidR="0098264B" w:rsidRDefault="009826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E9"/>
    <w:rsid w:val="00613AB7"/>
    <w:rsid w:val="0098264B"/>
    <w:rsid w:val="00BC2BE9"/>
    <w:rsid w:val="00F4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BE9"/>
    <w:rPr>
      <w:color w:val="808080"/>
    </w:rPr>
  </w:style>
  <w:style w:type="paragraph" w:customStyle="1" w:styleId="PrimarySectionTextNoHangingIndent-HCG">
    <w:name w:val="Primary Section Text No Hanging Indent - HCG"/>
    <w:basedOn w:val="Normal"/>
    <w:link w:val="PrimarySectionTextNoHangingIndent-HCGChar"/>
    <w:qFormat/>
    <w:rsid w:val="00BC2BE9"/>
    <w:pPr>
      <w:spacing w:after="120" w:line="276" w:lineRule="auto"/>
    </w:pPr>
    <w:rPr>
      <w:rFonts w:ascii="Arial" w:eastAsiaTheme="minorHAnsi" w:hAnsi="Arial"/>
    </w:rPr>
  </w:style>
  <w:style w:type="character" w:customStyle="1" w:styleId="PrimarySectionTextNoHangingIndent-HCGChar">
    <w:name w:val="Primary Section Text No Hanging Indent - HCG Char"/>
    <w:basedOn w:val="DefaultParagraphFont"/>
    <w:link w:val="PrimarySectionTextNoHangingIndent-HCG"/>
    <w:rsid w:val="00BC2BE9"/>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8C6D68-65B4-4743-82D8-B171106C9E73}"/>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http://purl.org/dc/elements/1.1/"/>
    <ds:schemaRef ds:uri="07b1ed27-4a09-479f-8bd2-5a0f6f9bbe93"/>
    <ds:schemaRef ds:uri="http://schemas.microsoft.com/office/2006/documentManagement/types"/>
    <ds:schemaRef ds:uri="http://purl.org/dc/dcmitype/"/>
    <ds:schemaRef ds:uri="http://www.w3.org/XML/1998/namespace"/>
    <ds:schemaRef ds:uri="http://schemas.openxmlformats.org/package/2006/metadata/core-properties"/>
    <ds:schemaRef ds:uri="8c515ec7-3e6c-4e38-8eb4-62fcbe95786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Jocelyn Isley</cp:lastModifiedBy>
  <cp:revision>58</cp:revision>
  <dcterms:created xsi:type="dcterms:W3CDTF">2022-07-28T19:22:00Z</dcterms:created>
  <dcterms:modified xsi:type="dcterms:W3CDTF">2022-12-19T00:16:00Z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